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86D1" w14:textId="7521DD45" w:rsidR="004A7A6B" w:rsidRDefault="009E33FF">
      <w:pPr>
        <w:ind w:firstLine="720"/>
        <w:jc w:val="center"/>
        <w:rPr>
          <w:b/>
        </w:rPr>
      </w:pPr>
      <w:r w:rsidRPr="009E33FF">
        <w:rPr>
          <w:b/>
          <w:noProof/>
        </w:rPr>
        <w:drawing>
          <wp:inline distT="0" distB="0" distL="0" distR="0" wp14:anchorId="581B001B" wp14:editId="0FA76735">
            <wp:extent cx="1415415" cy="6679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0212" cy="670213"/>
                    </a:xfrm>
                    <a:prstGeom prst="rect">
                      <a:avLst/>
                    </a:prstGeom>
                  </pic:spPr>
                </pic:pic>
              </a:graphicData>
            </a:graphic>
          </wp:inline>
        </w:drawing>
      </w:r>
    </w:p>
    <w:p w14:paraId="2796F81D" w14:textId="2F6EA646" w:rsidR="004A7A6B" w:rsidRDefault="004A7A6B">
      <w:pPr>
        <w:ind w:firstLine="720"/>
        <w:jc w:val="center"/>
        <w:rPr>
          <w:b/>
        </w:rPr>
      </w:pPr>
    </w:p>
    <w:p w14:paraId="65B9317F" w14:textId="77777777" w:rsidR="004A7A6B" w:rsidRDefault="004A7A6B">
      <w:pPr>
        <w:rPr>
          <w:sz w:val="28"/>
          <w:szCs w:val="28"/>
        </w:rPr>
      </w:pPr>
    </w:p>
    <w:p w14:paraId="0CACC17D" w14:textId="08752D35" w:rsidR="004A7A6B" w:rsidRPr="008A57D2" w:rsidRDefault="0070671A">
      <w:pPr>
        <w:rPr>
          <w:rFonts w:asciiTheme="minorHAnsi" w:hAnsiTheme="minorHAnsi"/>
          <w:sz w:val="26"/>
          <w:szCs w:val="26"/>
          <w:lang w:val="en-GB"/>
        </w:rPr>
      </w:pPr>
      <w:r>
        <w:rPr>
          <w:rFonts w:asciiTheme="minorHAnsi" w:hAnsiTheme="minorHAnsi"/>
          <w:sz w:val="26"/>
          <w:szCs w:val="26"/>
          <w:lang w:val="en-GB"/>
        </w:rPr>
        <w:t xml:space="preserve"> </w:t>
      </w:r>
      <w:r w:rsidR="005E7A9E" w:rsidRPr="005E7A9E">
        <w:rPr>
          <w:rFonts w:asciiTheme="minorHAnsi" w:hAnsiTheme="minorHAnsi"/>
          <w:sz w:val="26"/>
          <w:szCs w:val="26"/>
          <w:lang w:val="en-GB"/>
        </w:rPr>
        <w:t xml:space="preserve">Uralsk city </w:t>
      </w:r>
      <w:r w:rsidR="005E7A9E">
        <w:rPr>
          <w:rFonts w:asciiTheme="minorHAnsi" w:hAnsiTheme="minorHAnsi"/>
          <w:sz w:val="26"/>
          <w:szCs w:val="26"/>
          <w:lang w:val="kk-KZ"/>
        </w:rPr>
        <w:t xml:space="preserve">                                                                                                                           </w:t>
      </w:r>
      <w:r w:rsidR="00772800" w:rsidRPr="008A57D2">
        <w:rPr>
          <w:rFonts w:asciiTheme="minorHAnsi" w:hAnsiTheme="minorHAnsi"/>
          <w:sz w:val="26"/>
          <w:szCs w:val="26"/>
          <w:lang w:val="en-GB"/>
        </w:rPr>
        <w:t>2</w:t>
      </w:r>
      <w:r w:rsidR="00701C89" w:rsidRPr="008A57D2">
        <w:rPr>
          <w:rFonts w:asciiTheme="minorHAnsi" w:hAnsiTheme="minorHAnsi"/>
          <w:sz w:val="26"/>
          <w:szCs w:val="26"/>
          <w:lang w:val="en-GB"/>
        </w:rPr>
        <w:t>8</w:t>
      </w:r>
      <w:r w:rsidR="00772800" w:rsidRPr="008A57D2">
        <w:rPr>
          <w:rFonts w:asciiTheme="minorHAnsi" w:hAnsiTheme="minorHAnsi"/>
          <w:sz w:val="26"/>
          <w:szCs w:val="26"/>
          <w:lang w:val="en-GB"/>
        </w:rPr>
        <w:t xml:space="preserve"> </w:t>
      </w:r>
      <w:r w:rsidR="005E7A9E">
        <w:rPr>
          <w:rFonts w:asciiTheme="minorHAnsi" w:hAnsiTheme="minorHAnsi"/>
          <w:sz w:val="26"/>
          <w:szCs w:val="26"/>
          <w:lang w:val="en-US"/>
        </w:rPr>
        <w:t>November</w:t>
      </w:r>
      <w:r w:rsidR="00AF3696" w:rsidRPr="008A57D2">
        <w:rPr>
          <w:rFonts w:asciiTheme="minorHAnsi" w:hAnsiTheme="minorHAnsi"/>
          <w:sz w:val="26"/>
          <w:szCs w:val="26"/>
          <w:lang w:val="en-GB"/>
        </w:rPr>
        <w:t xml:space="preserve"> </w:t>
      </w:r>
      <w:r w:rsidR="00772800" w:rsidRPr="008A57D2">
        <w:rPr>
          <w:rFonts w:asciiTheme="minorHAnsi" w:hAnsiTheme="minorHAnsi"/>
          <w:sz w:val="26"/>
          <w:szCs w:val="26"/>
          <w:lang w:val="en-GB"/>
        </w:rPr>
        <w:t>202</w:t>
      </w:r>
      <w:r w:rsidR="00701C89" w:rsidRPr="008A57D2">
        <w:rPr>
          <w:rFonts w:asciiTheme="minorHAnsi" w:hAnsiTheme="minorHAnsi"/>
          <w:sz w:val="26"/>
          <w:szCs w:val="26"/>
          <w:lang w:val="en-GB"/>
        </w:rPr>
        <w:t>5</w:t>
      </w:r>
      <w:r w:rsidR="00772800" w:rsidRPr="008A57D2">
        <w:rPr>
          <w:rFonts w:asciiTheme="minorHAnsi" w:hAnsiTheme="minorHAnsi"/>
          <w:sz w:val="26"/>
          <w:szCs w:val="26"/>
          <w:lang w:val="en-GB"/>
        </w:rPr>
        <w:t xml:space="preserve"> </w:t>
      </w:r>
    </w:p>
    <w:p w14:paraId="5A877E8C" w14:textId="77777777" w:rsidR="004A7A6B" w:rsidRPr="008A57D2" w:rsidRDefault="004A7A6B">
      <w:pPr>
        <w:rPr>
          <w:rFonts w:asciiTheme="minorHAnsi" w:hAnsiTheme="minorHAnsi"/>
          <w:sz w:val="28"/>
          <w:szCs w:val="28"/>
          <w:lang w:val="en-GB"/>
        </w:rPr>
      </w:pPr>
    </w:p>
    <w:p w14:paraId="566EAF4E" w14:textId="77777777" w:rsidR="008A57D2" w:rsidRDefault="008A57D2" w:rsidP="008A57D2">
      <w:pPr>
        <w:pStyle w:val="Default"/>
      </w:pPr>
    </w:p>
    <w:p w14:paraId="6F4839F2" w14:textId="6C5AC652" w:rsidR="008A57D2" w:rsidRDefault="008A57D2" w:rsidP="008A57D2">
      <w:pPr>
        <w:pStyle w:val="Default"/>
        <w:jc w:val="center"/>
        <w:rPr>
          <w:sz w:val="26"/>
          <w:szCs w:val="26"/>
        </w:rPr>
      </w:pPr>
      <w:r>
        <w:rPr>
          <w:b/>
          <w:bCs/>
          <w:sz w:val="26"/>
          <w:szCs w:val="26"/>
        </w:rPr>
        <w:t>RESOLUTION</w:t>
      </w:r>
    </w:p>
    <w:p w14:paraId="2C501858" w14:textId="6FD452DA" w:rsidR="004A7A6B" w:rsidRPr="008A57D2" w:rsidRDefault="008A57D2" w:rsidP="008A57D2">
      <w:pPr>
        <w:ind w:firstLine="720"/>
        <w:jc w:val="center"/>
        <w:rPr>
          <w:rFonts w:asciiTheme="minorHAnsi" w:hAnsiTheme="minorHAnsi"/>
          <w:b/>
          <w:lang w:val="en-GB"/>
        </w:rPr>
      </w:pPr>
      <w:r w:rsidRPr="008A57D2">
        <w:rPr>
          <w:b/>
          <w:bCs/>
          <w:sz w:val="26"/>
          <w:szCs w:val="26"/>
          <w:lang w:val="en-GB"/>
        </w:rPr>
        <w:t>OF THE VI</w:t>
      </w:r>
      <w:r>
        <w:rPr>
          <w:b/>
          <w:bCs/>
          <w:sz w:val="26"/>
          <w:szCs w:val="26"/>
          <w:lang w:val="en-GB"/>
        </w:rPr>
        <w:t>II</w:t>
      </w:r>
      <w:r w:rsidRPr="008A57D2">
        <w:rPr>
          <w:b/>
          <w:bCs/>
          <w:sz w:val="26"/>
          <w:szCs w:val="26"/>
          <w:lang w:val="en-GB"/>
        </w:rPr>
        <w:t xml:space="preserve"> INTERNATIONAL ENVIRONMENTAL FORUM</w:t>
      </w:r>
    </w:p>
    <w:p w14:paraId="242600B3" w14:textId="66F91EC8"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bookmarkStart w:id="0" w:name="_Hlk177041129"/>
      <w:r w:rsidRPr="008A57D2">
        <w:rPr>
          <w:rFonts w:asciiTheme="minorHAnsi" w:hAnsiTheme="minorHAnsi"/>
          <w:color w:val="000000"/>
          <w:sz w:val="26"/>
          <w:szCs w:val="26"/>
          <w:lang w:val="en-GB"/>
        </w:rPr>
        <w:t xml:space="preserve">On 28 November 2025, the </w:t>
      </w:r>
      <w:r w:rsidR="009F0804">
        <w:rPr>
          <w:rFonts w:asciiTheme="minorHAnsi" w:hAnsiTheme="minorHAnsi"/>
          <w:color w:val="000000"/>
          <w:sz w:val="26"/>
          <w:szCs w:val="26"/>
          <w:lang w:val="en-GB"/>
        </w:rPr>
        <w:t>VIII</w:t>
      </w:r>
      <w:r w:rsidRPr="008A57D2">
        <w:rPr>
          <w:rFonts w:asciiTheme="minorHAnsi" w:hAnsiTheme="minorHAnsi"/>
          <w:color w:val="000000"/>
          <w:sz w:val="26"/>
          <w:szCs w:val="26"/>
          <w:lang w:val="en-GB"/>
        </w:rPr>
        <w:t xml:space="preserve"> International Environmental Forum “Uralsk Green Forum” was held in Uralsk. The initiative to organize this forum belongs to Karachaganak Petroleum Operating B.V. (KPO) and the </w:t>
      </w:r>
      <w:proofErr w:type="spellStart"/>
      <w:r w:rsidRPr="008A57D2">
        <w:rPr>
          <w:rFonts w:asciiTheme="minorHAnsi" w:hAnsiTheme="minorHAnsi"/>
          <w:color w:val="000000"/>
          <w:sz w:val="26"/>
          <w:szCs w:val="26"/>
          <w:lang w:val="en-GB"/>
        </w:rPr>
        <w:t>Akimat</w:t>
      </w:r>
      <w:proofErr w:type="spellEnd"/>
      <w:r w:rsidRPr="008A57D2">
        <w:rPr>
          <w:rFonts w:asciiTheme="minorHAnsi" w:hAnsiTheme="minorHAnsi"/>
          <w:color w:val="000000"/>
          <w:sz w:val="26"/>
          <w:szCs w:val="26"/>
          <w:lang w:val="en-GB"/>
        </w:rPr>
        <w:t xml:space="preserve"> of the West Kazakhstan region. The forum is held annually and aims to discuss current environmental issues through dialogue between the government, business, and civil society.</w:t>
      </w:r>
    </w:p>
    <w:p w14:paraId="60F59736" w14:textId="77777777"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The main objective of the 8th Forum is to maintain an effective communication and business platform between the government, business, and society to find solutions in the field of sustainable development. The Environmental Forum provides for the exchange of experience and the creation of a platform for further cooperation in the implementation of the “green” economy concept, strengthening comprehensive dialogue on environmental protection to consolidate joint efforts and build a shared vision for the sustainable development of the region.</w:t>
      </w:r>
    </w:p>
    <w:p w14:paraId="3835C301" w14:textId="77777777" w:rsidR="008A57D2" w:rsidRPr="008A57D2" w:rsidRDefault="00E47CD2" w:rsidP="008A57D2">
      <w:pPr>
        <w:pBdr>
          <w:top w:val="nil"/>
          <w:left w:val="nil"/>
          <w:bottom w:val="nil"/>
          <w:right w:val="nil"/>
          <w:between w:val="nil"/>
        </w:pBdr>
        <w:spacing w:after="0" w:line="36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The theme of the 8th Forum: “Climate Change: Challenges and Prospects for the Application of Advanced Technologies.”</w:t>
      </w:r>
    </w:p>
    <w:p w14:paraId="297DA2C7" w14:textId="21042CC2" w:rsidR="00E47CD2" w:rsidRPr="008A57D2" w:rsidRDefault="00E47CD2" w:rsidP="008A57D2">
      <w:pPr>
        <w:pBdr>
          <w:top w:val="nil"/>
          <w:left w:val="nil"/>
          <w:bottom w:val="nil"/>
          <w:right w:val="nil"/>
          <w:between w:val="nil"/>
        </w:pBdr>
        <w:spacing w:after="0" w:line="36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The forum addressed the following issues:</w:t>
      </w:r>
    </w:p>
    <w:p w14:paraId="53DA8156" w14:textId="77777777" w:rsidR="00E47CD2" w:rsidRPr="008A57D2" w:rsidRDefault="00E47CD2" w:rsidP="008A57D2">
      <w:pPr>
        <w:numPr>
          <w:ilvl w:val="0"/>
          <w:numId w:val="6"/>
        </w:numPr>
        <w:pBdr>
          <w:top w:val="nil"/>
          <w:left w:val="nil"/>
          <w:bottom w:val="nil"/>
          <w:right w:val="nil"/>
          <w:between w:val="nil"/>
        </w:pBdr>
        <w:tabs>
          <w:tab w:val="clear" w:pos="720"/>
        </w:tabs>
        <w:spacing w:after="0" w:line="36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Climate policy and carbon neutrality,</w:t>
      </w:r>
    </w:p>
    <w:p w14:paraId="00A0A04E" w14:textId="77777777" w:rsidR="00E47CD2" w:rsidRPr="008A57D2" w:rsidRDefault="00E47CD2" w:rsidP="008A57D2">
      <w:pPr>
        <w:numPr>
          <w:ilvl w:val="0"/>
          <w:numId w:val="6"/>
        </w:numPr>
        <w:pBdr>
          <w:top w:val="nil"/>
          <w:left w:val="nil"/>
          <w:bottom w:val="nil"/>
          <w:right w:val="nil"/>
          <w:between w:val="nil"/>
        </w:pBdr>
        <w:tabs>
          <w:tab w:val="clear" w:pos="720"/>
        </w:tabs>
        <w:spacing w:after="0" w:line="36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Environmental innovations and best available technologies, green finance,</w:t>
      </w:r>
    </w:p>
    <w:p w14:paraId="2D327E91" w14:textId="77777777" w:rsidR="00E47CD2" w:rsidRPr="008A57D2" w:rsidRDefault="00E47CD2" w:rsidP="00477125">
      <w:pPr>
        <w:pBdr>
          <w:top w:val="nil"/>
          <w:left w:val="nil"/>
          <w:bottom w:val="nil"/>
          <w:right w:val="nil"/>
          <w:between w:val="nil"/>
        </w:pBdr>
        <w:spacing w:after="0" w:line="360" w:lineRule="auto"/>
        <w:ind w:left="720"/>
        <w:jc w:val="both"/>
        <w:rPr>
          <w:rFonts w:asciiTheme="minorHAnsi" w:hAnsiTheme="minorHAnsi"/>
          <w:color w:val="000000"/>
          <w:sz w:val="26"/>
          <w:szCs w:val="26"/>
          <w:lang w:val="en-GB"/>
        </w:rPr>
      </w:pPr>
      <w:r w:rsidRPr="008A57D2">
        <w:rPr>
          <w:rFonts w:asciiTheme="minorHAnsi" w:hAnsiTheme="minorHAnsi"/>
          <w:color w:val="000000"/>
          <w:sz w:val="26"/>
          <w:szCs w:val="26"/>
          <w:lang w:val="en-GB"/>
        </w:rPr>
        <w:t>Nature-based solutions and carbon markets,</w:t>
      </w:r>
    </w:p>
    <w:p w14:paraId="052E5D4B" w14:textId="77777777" w:rsidR="00E47CD2" w:rsidRPr="008A57D2" w:rsidRDefault="00E47CD2" w:rsidP="008A57D2">
      <w:pPr>
        <w:numPr>
          <w:ilvl w:val="0"/>
          <w:numId w:val="7"/>
        </w:numPr>
        <w:pBdr>
          <w:top w:val="nil"/>
          <w:left w:val="nil"/>
          <w:bottom w:val="nil"/>
          <w:right w:val="nil"/>
          <w:between w:val="nil"/>
        </w:pBdr>
        <w:tabs>
          <w:tab w:val="clear" w:pos="720"/>
        </w:tabs>
        <w:spacing w:after="0" w:line="36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lastRenderedPageBreak/>
        <w:t>Innovation and partnership in water resources management.</w:t>
      </w:r>
    </w:p>
    <w:p w14:paraId="5EBDB257" w14:textId="33B965DF"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 xml:space="preserve">The forum gathered more than 200 participants, including representatives of </w:t>
      </w:r>
      <w:r w:rsidR="008A57D2">
        <w:rPr>
          <w:rFonts w:asciiTheme="minorHAnsi" w:hAnsiTheme="minorHAnsi"/>
          <w:color w:val="000000"/>
          <w:sz w:val="26"/>
          <w:szCs w:val="26"/>
          <w:lang w:val="en-GB"/>
        </w:rPr>
        <w:t>M</w:t>
      </w:r>
      <w:r w:rsidRPr="008A57D2">
        <w:rPr>
          <w:rFonts w:asciiTheme="minorHAnsi" w:hAnsiTheme="minorHAnsi"/>
          <w:color w:val="000000"/>
          <w:sz w:val="26"/>
          <w:szCs w:val="26"/>
          <w:lang w:val="en-GB"/>
        </w:rPr>
        <w:t xml:space="preserve">inistries and </w:t>
      </w:r>
      <w:r w:rsidR="008A57D2">
        <w:rPr>
          <w:rFonts w:asciiTheme="minorHAnsi" w:hAnsiTheme="minorHAnsi"/>
          <w:color w:val="000000"/>
          <w:sz w:val="26"/>
          <w:szCs w:val="26"/>
          <w:lang w:val="en-GB"/>
        </w:rPr>
        <w:t>G</w:t>
      </w:r>
      <w:r w:rsidRPr="008A57D2">
        <w:rPr>
          <w:rFonts w:asciiTheme="minorHAnsi" w:hAnsiTheme="minorHAnsi"/>
          <w:color w:val="000000"/>
          <w:sz w:val="26"/>
          <w:szCs w:val="26"/>
          <w:lang w:val="en-GB"/>
        </w:rPr>
        <w:t xml:space="preserve">overnment </w:t>
      </w:r>
      <w:r w:rsidR="008A57D2">
        <w:rPr>
          <w:rFonts w:asciiTheme="minorHAnsi" w:hAnsiTheme="minorHAnsi"/>
          <w:color w:val="000000"/>
          <w:sz w:val="26"/>
          <w:szCs w:val="26"/>
          <w:lang w:val="en-GB"/>
        </w:rPr>
        <w:t>A</w:t>
      </w:r>
      <w:r w:rsidRPr="008A57D2">
        <w:rPr>
          <w:rFonts w:asciiTheme="minorHAnsi" w:hAnsiTheme="minorHAnsi"/>
          <w:color w:val="000000"/>
          <w:sz w:val="26"/>
          <w:szCs w:val="26"/>
          <w:lang w:val="en-GB"/>
        </w:rPr>
        <w:t>gencies, industrial companies, environmental associations, experts and specialists in sustainable development, as well as national and regional media.</w:t>
      </w:r>
    </w:p>
    <w:p w14:paraId="2E6F9C9E" w14:textId="685A8E8F"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 xml:space="preserve">As part of the forum, a plenary session titled “Climate Policy and Carbon Neutrality Goals, Environmental Innovations and Best Available Technologies, Green Finance” and two panel discussions were held: “Nature-based Solutions and Carbon Markets” with experts in low-carbon development, and “Innovation and Partnership in Water Resources Management” with water resource experts. </w:t>
      </w:r>
    </w:p>
    <w:p w14:paraId="0AD835DD" w14:textId="77777777"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The forum participants emphasized the importance and effectiveness of this event, expressed their commitment to the sustainable development of the West Kazakhstan region, and reached the following agreements:</w:t>
      </w:r>
    </w:p>
    <w:p w14:paraId="2397184F" w14:textId="77777777" w:rsidR="00E47CD2" w:rsidRPr="008A57D2" w:rsidRDefault="00E47CD2" w:rsidP="008A57D2">
      <w:pPr>
        <w:pStyle w:val="ListParagraph"/>
        <w:numPr>
          <w:ilvl w:val="0"/>
          <w:numId w:val="8"/>
        </w:num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Promote the implementation of state policy in the field of climate change, carbon neutrality, and water resource management in the West Kazakhstan region and among industrial companies in the area.</w:t>
      </w:r>
    </w:p>
    <w:p w14:paraId="768C4AF0" w14:textId="77777777" w:rsidR="00E47CD2" w:rsidRPr="008A57D2" w:rsidRDefault="00E47CD2" w:rsidP="008A57D2">
      <w:pPr>
        <w:pStyle w:val="ListParagraph"/>
        <w:numPr>
          <w:ilvl w:val="0"/>
          <w:numId w:val="8"/>
        </w:num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Support the advancement of nature-based projects aimed at reducing greenhouse gas emissions and promoting low-carbon development in the region.</w:t>
      </w:r>
    </w:p>
    <w:p w14:paraId="7F23DAE3" w14:textId="77777777" w:rsidR="00E47CD2" w:rsidRPr="008A57D2" w:rsidRDefault="00E47CD2" w:rsidP="008A57D2">
      <w:pPr>
        <w:pStyle w:val="ListParagraph"/>
        <w:numPr>
          <w:ilvl w:val="0"/>
          <w:numId w:val="8"/>
        </w:num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Facilitate the development of digitalization in the monitoring and management of water resources at both the regional and national levels.</w:t>
      </w:r>
    </w:p>
    <w:p w14:paraId="1D91207E" w14:textId="3695FE0D" w:rsidR="00E47CD2" w:rsidRPr="008A57D2" w:rsidRDefault="00E47CD2" w:rsidP="008A57D2">
      <w:pPr>
        <w:pStyle w:val="ListParagraph"/>
        <w:numPr>
          <w:ilvl w:val="0"/>
          <w:numId w:val="8"/>
        </w:numPr>
        <w:spacing w:before="100" w:beforeAutospacing="1" w:after="100" w:afterAutospacing="1" w:line="240" w:lineRule="auto"/>
        <w:jc w:val="both"/>
        <w:rPr>
          <w:rFonts w:asciiTheme="minorHAnsi" w:hAnsiTheme="minorHAnsi"/>
          <w:color w:val="000000"/>
          <w:sz w:val="26"/>
          <w:szCs w:val="26"/>
          <w:lang w:val="en-GB"/>
        </w:rPr>
      </w:pPr>
      <w:r w:rsidRPr="008A57D2">
        <w:rPr>
          <w:rFonts w:asciiTheme="minorHAnsi" w:hAnsiTheme="minorHAnsi"/>
          <w:color w:val="000000"/>
          <w:sz w:val="26"/>
          <w:szCs w:val="26"/>
          <w:lang w:val="en-GB"/>
        </w:rPr>
        <w:t xml:space="preserve">Raise awareness of sustainable development in the West Kazakhstan region through training programs for government agencies and </w:t>
      </w:r>
      <w:r w:rsidR="008A57D2" w:rsidRPr="008A57D2">
        <w:rPr>
          <w:rFonts w:asciiTheme="minorHAnsi" w:hAnsiTheme="minorHAnsi"/>
          <w:color w:val="000000"/>
          <w:sz w:val="26"/>
          <w:szCs w:val="26"/>
          <w:lang w:val="en-GB"/>
        </w:rPr>
        <w:t>businesses and</w:t>
      </w:r>
      <w:r w:rsidRPr="008A57D2">
        <w:rPr>
          <w:rFonts w:asciiTheme="minorHAnsi" w:hAnsiTheme="minorHAnsi"/>
          <w:color w:val="000000"/>
          <w:sz w:val="26"/>
          <w:szCs w:val="26"/>
          <w:lang w:val="en-GB"/>
        </w:rPr>
        <w:t xml:space="preserve"> create incentives for the adoption of green technologies.</w:t>
      </w:r>
    </w:p>
    <w:p w14:paraId="63983625" w14:textId="0086880D" w:rsidR="00E47CD2" w:rsidRPr="008A57D2" w:rsidRDefault="00E47CD2" w:rsidP="008A57D2">
      <w:pPr>
        <w:spacing w:before="100" w:beforeAutospacing="1" w:after="100" w:afterAutospacing="1" w:line="240" w:lineRule="auto"/>
        <w:jc w:val="both"/>
        <w:rPr>
          <w:rFonts w:asciiTheme="minorHAnsi" w:hAnsiTheme="minorHAnsi"/>
          <w:color w:val="000000"/>
          <w:sz w:val="26"/>
          <w:szCs w:val="26"/>
          <w:lang w:val="en-GB"/>
        </w:rPr>
      </w:pPr>
    </w:p>
    <w:p w14:paraId="0D621416" w14:textId="77777777" w:rsidR="000D610F" w:rsidRPr="008A57D2" w:rsidRDefault="000D610F" w:rsidP="00B851A7">
      <w:pPr>
        <w:pBdr>
          <w:top w:val="nil"/>
          <w:left w:val="nil"/>
          <w:bottom w:val="nil"/>
          <w:right w:val="nil"/>
          <w:between w:val="nil"/>
        </w:pBdr>
        <w:spacing w:after="0" w:line="360" w:lineRule="auto"/>
        <w:jc w:val="both"/>
        <w:rPr>
          <w:rFonts w:ascii="Calibri" w:hAnsi="Calibri" w:cs="Calibri"/>
          <w:color w:val="000000"/>
          <w:lang w:val="en-GB"/>
        </w:rPr>
      </w:pPr>
    </w:p>
    <w:p w14:paraId="351B4A76" w14:textId="77777777" w:rsidR="008A57D2" w:rsidRPr="008A57D2" w:rsidRDefault="008A57D2" w:rsidP="008A57D2">
      <w:pPr>
        <w:spacing w:line="360" w:lineRule="auto"/>
        <w:jc w:val="center"/>
        <w:rPr>
          <w:rFonts w:asciiTheme="minorHAnsi" w:hAnsiTheme="minorHAnsi"/>
          <w:lang w:val="en-GB"/>
        </w:rPr>
      </w:pPr>
      <w:bookmarkStart w:id="1" w:name="_gjdgxs" w:colFirst="0" w:colLast="0"/>
      <w:bookmarkEnd w:id="0"/>
      <w:bookmarkEnd w:id="1"/>
      <w:r w:rsidRPr="008A57D2">
        <w:rPr>
          <w:rFonts w:asciiTheme="minorHAnsi" w:hAnsiTheme="minorHAnsi"/>
          <w:lang w:val="en-GB"/>
        </w:rPr>
        <w:t xml:space="preserve">The electronic version of the resolution is available at </w:t>
      </w:r>
      <w:hyperlink r:id="rId8">
        <w:r w:rsidRPr="008A57D2">
          <w:rPr>
            <w:rFonts w:asciiTheme="minorHAnsi" w:hAnsiTheme="minorHAnsi"/>
            <w:u w:val="single"/>
            <w:lang w:val="en-GB"/>
          </w:rPr>
          <w:t>www.ugf.kz</w:t>
        </w:r>
      </w:hyperlink>
      <w:r w:rsidRPr="008A57D2">
        <w:rPr>
          <w:rFonts w:asciiTheme="minorHAnsi" w:hAnsiTheme="minorHAnsi"/>
          <w:lang w:val="en-GB"/>
        </w:rPr>
        <w:t xml:space="preserve"> website</w:t>
      </w:r>
    </w:p>
    <w:p w14:paraId="02E0CE33" w14:textId="05532FCE" w:rsidR="00DD67D6" w:rsidRPr="008A57D2" w:rsidRDefault="00DD67D6">
      <w:pPr>
        <w:spacing w:line="360" w:lineRule="auto"/>
        <w:jc w:val="center"/>
        <w:rPr>
          <w:rFonts w:asciiTheme="minorHAnsi" w:hAnsiTheme="minorHAnsi"/>
          <w:color w:val="3D5157"/>
          <w:sz w:val="22"/>
          <w:szCs w:val="22"/>
          <w:u w:val="single"/>
          <w:lang w:val="en-GB"/>
        </w:rPr>
      </w:pPr>
    </w:p>
    <w:p w14:paraId="635DAAEF" w14:textId="77777777" w:rsidR="00DD67D6" w:rsidRPr="008A57D2" w:rsidRDefault="00DD67D6">
      <w:pPr>
        <w:spacing w:line="360" w:lineRule="auto"/>
        <w:jc w:val="center"/>
        <w:rPr>
          <w:rFonts w:asciiTheme="minorHAnsi" w:hAnsiTheme="minorHAnsi"/>
          <w:sz w:val="22"/>
          <w:szCs w:val="22"/>
          <w:lang w:val="en-GB"/>
        </w:rPr>
      </w:pPr>
    </w:p>
    <w:sectPr w:rsidR="00DD67D6" w:rsidRPr="008A57D2">
      <w:headerReference w:type="even" r:id="rId9"/>
      <w:headerReference w:type="default" r:id="rId10"/>
      <w:footerReference w:type="even" r:id="rId11"/>
      <w:footerReference w:type="default" r:id="rId12"/>
      <w:footerReference w:type="first" r:id="rId13"/>
      <w:pgSz w:w="12240" w:h="15840"/>
      <w:pgMar w:top="1886" w:right="864" w:bottom="1440" w:left="86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7C9F" w14:textId="77777777" w:rsidR="00D234B8" w:rsidRDefault="00D234B8">
      <w:pPr>
        <w:spacing w:after="0" w:line="240" w:lineRule="auto"/>
      </w:pPr>
      <w:r>
        <w:separator/>
      </w:r>
    </w:p>
  </w:endnote>
  <w:endnote w:type="continuationSeparator" w:id="0">
    <w:p w14:paraId="3E9259E6" w14:textId="77777777" w:rsidR="00D234B8" w:rsidRDefault="00D2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Times New Roman"/>
    <w:charset w:val="00"/>
    <w:family w:val="auto"/>
    <w:pitch w:val="default"/>
  </w:font>
  <w:font w:name="Franklin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BF69" w14:textId="77777777" w:rsidR="004A7A6B" w:rsidRDefault="004A7A6B">
    <w:pPr>
      <w:pBdr>
        <w:top w:val="nil"/>
        <w:left w:val="nil"/>
        <w:bottom w:val="nil"/>
        <w:right w:val="nil"/>
        <w:between w:val="nil"/>
      </w:pBdr>
      <w:spacing w:after="4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6CF6" w14:textId="4CEB8CB1" w:rsidR="004A7A6B" w:rsidRPr="005E7A9E" w:rsidRDefault="004A7A6B">
    <w:pPr>
      <w:widowControl w:val="0"/>
      <w:pBdr>
        <w:top w:val="nil"/>
        <w:left w:val="nil"/>
        <w:bottom w:val="nil"/>
        <w:right w:val="nil"/>
        <w:between w:val="nil"/>
      </w:pBdr>
      <w:spacing w:after="0" w:line="276" w:lineRule="auto"/>
      <w:rPr>
        <w:color w:val="000000"/>
        <w:lang w:val="en-US"/>
      </w:rPr>
    </w:pPr>
  </w:p>
  <w:tbl>
    <w:tblPr>
      <w:tblStyle w:val="a1"/>
      <w:tblW w:w="12420"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0"/>
    </w:tblGrid>
    <w:tr w:rsidR="004A7A6B" w14:paraId="469B98ED" w14:textId="77777777">
      <w:trPr>
        <w:trHeight w:val="1421"/>
      </w:trPr>
      <w:tc>
        <w:tcPr>
          <w:tcW w:w="12420" w:type="dxa"/>
          <w:tcBorders>
            <w:top w:val="nil"/>
            <w:left w:val="nil"/>
            <w:bottom w:val="nil"/>
            <w:right w:val="nil"/>
          </w:tcBorders>
        </w:tcPr>
        <w:p w14:paraId="0F72EA85" w14:textId="77777777" w:rsidR="004A7A6B" w:rsidRDefault="00772800">
          <w:pPr>
            <w:pBdr>
              <w:top w:val="nil"/>
              <w:left w:val="nil"/>
              <w:bottom w:val="nil"/>
              <w:right w:val="nil"/>
              <w:between w:val="nil"/>
            </w:pBdr>
            <w:spacing w:after="0"/>
            <w:rPr>
              <w:color w:val="000000"/>
            </w:rPr>
          </w:pPr>
          <w:r>
            <w:rPr>
              <w:noProof/>
              <w:color w:val="000000"/>
              <w:lang w:val="en-GB"/>
            </w:rPr>
            <w:drawing>
              <wp:inline distT="0" distB="0" distL="0" distR="0" wp14:anchorId="62EBACB1" wp14:editId="064CDDDE">
                <wp:extent cx="7886700" cy="899160"/>
                <wp:effectExtent l="0" t="0" r="0" b="0"/>
                <wp:docPr id="4" name="image2.png" descr="Multiple green waves as abstract design in footer"/>
                <wp:cNvGraphicFramePr/>
                <a:graphic xmlns:a="http://schemas.openxmlformats.org/drawingml/2006/main">
                  <a:graphicData uri="http://schemas.openxmlformats.org/drawingml/2006/picture">
                    <pic:pic xmlns:pic="http://schemas.openxmlformats.org/drawingml/2006/picture">
                      <pic:nvPicPr>
                        <pic:cNvPr id="0" name="image2.png" descr="Multiple green waves as abstract design in footer"/>
                        <pic:cNvPicPr preferRelativeResize="0"/>
                      </pic:nvPicPr>
                      <pic:blipFill>
                        <a:blip r:embed="rId1"/>
                        <a:srcRect/>
                        <a:stretch>
                          <a:fillRect/>
                        </a:stretch>
                      </pic:blipFill>
                      <pic:spPr>
                        <a:xfrm>
                          <a:off x="0" y="0"/>
                          <a:ext cx="7886700" cy="899160"/>
                        </a:xfrm>
                        <a:prstGeom prst="rect">
                          <a:avLst/>
                        </a:prstGeom>
                        <a:ln/>
                      </pic:spPr>
                    </pic:pic>
                  </a:graphicData>
                </a:graphic>
              </wp:inline>
            </w:drawing>
          </w:r>
        </w:p>
      </w:tc>
    </w:tr>
  </w:tbl>
  <w:p w14:paraId="5A46A72B" w14:textId="77777777" w:rsidR="004A7A6B" w:rsidRDefault="004A7A6B">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C6A7" w14:textId="77777777" w:rsidR="004A7A6B" w:rsidRDefault="004A7A6B">
    <w:pPr>
      <w:widowControl w:val="0"/>
      <w:pBdr>
        <w:top w:val="nil"/>
        <w:left w:val="nil"/>
        <w:bottom w:val="nil"/>
        <w:right w:val="nil"/>
        <w:between w:val="nil"/>
      </w:pBdr>
      <w:spacing w:after="0" w:line="276" w:lineRule="auto"/>
      <w:rPr>
        <w:color w:val="000000"/>
      </w:rPr>
    </w:pPr>
  </w:p>
  <w:tbl>
    <w:tblPr>
      <w:tblStyle w:val="a0"/>
      <w:tblW w:w="13464"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4"/>
    </w:tblGrid>
    <w:tr w:rsidR="004A7A6B" w14:paraId="6D6C23FD" w14:textId="77777777">
      <w:trPr>
        <w:trHeight w:val="1362"/>
      </w:trPr>
      <w:tc>
        <w:tcPr>
          <w:tcW w:w="13464" w:type="dxa"/>
          <w:tcBorders>
            <w:top w:val="nil"/>
            <w:left w:val="nil"/>
            <w:bottom w:val="nil"/>
            <w:right w:val="nil"/>
          </w:tcBorders>
        </w:tcPr>
        <w:p w14:paraId="2BD6E06B" w14:textId="77777777" w:rsidR="004A7A6B" w:rsidRDefault="00772800">
          <w:pPr>
            <w:pBdr>
              <w:top w:val="nil"/>
              <w:left w:val="nil"/>
              <w:bottom w:val="nil"/>
              <w:right w:val="nil"/>
              <w:between w:val="nil"/>
            </w:pBdr>
            <w:spacing w:after="0"/>
            <w:jc w:val="center"/>
            <w:rPr>
              <w:color w:val="000000"/>
            </w:rPr>
          </w:pPr>
          <w:r>
            <w:rPr>
              <w:noProof/>
              <w:color w:val="000000"/>
              <w:lang w:val="en-GB"/>
            </w:rPr>
            <w:drawing>
              <wp:inline distT="0" distB="0" distL="0" distR="0" wp14:anchorId="4DE83FC6" wp14:editId="61E37C9F">
                <wp:extent cx="8549640" cy="975360"/>
                <wp:effectExtent l="0" t="0" r="0" b="0"/>
                <wp:docPr id="2" name="image2.png" descr="green waves design"/>
                <wp:cNvGraphicFramePr/>
                <a:graphic xmlns:a="http://schemas.openxmlformats.org/drawingml/2006/main">
                  <a:graphicData uri="http://schemas.openxmlformats.org/drawingml/2006/picture">
                    <pic:pic xmlns:pic="http://schemas.openxmlformats.org/drawingml/2006/picture">
                      <pic:nvPicPr>
                        <pic:cNvPr id="0" name="image2.png" descr="green waves design"/>
                        <pic:cNvPicPr preferRelativeResize="0"/>
                      </pic:nvPicPr>
                      <pic:blipFill>
                        <a:blip r:embed="rId1"/>
                        <a:srcRect/>
                        <a:stretch>
                          <a:fillRect/>
                        </a:stretch>
                      </pic:blipFill>
                      <pic:spPr>
                        <a:xfrm>
                          <a:off x="0" y="0"/>
                          <a:ext cx="8549640" cy="975360"/>
                        </a:xfrm>
                        <a:prstGeom prst="rect">
                          <a:avLst/>
                        </a:prstGeom>
                        <a:ln/>
                      </pic:spPr>
                    </pic:pic>
                  </a:graphicData>
                </a:graphic>
              </wp:inline>
            </w:drawing>
          </w:r>
        </w:p>
      </w:tc>
    </w:tr>
  </w:tbl>
  <w:p w14:paraId="68AD86CF" w14:textId="77777777" w:rsidR="004A7A6B" w:rsidRDefault="004A7A6B">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4CA1" w14:textId="77777777" w:rsidR="00D234B8" w:rsidRDefault="00D234B8">
      <w:pPr>
        <w:spacing w:after="0" w:line="240" w:lineRule="auto"/>
      </w:pPr>
      <w:r>
        <w:separator/>
      </w:r>
    </w:p>
  </w:footnote>
  <w:footnote w:type="continuationSeparator" w:id="0">
    <w:p w14:paraId="0C30D9B8" w14:textId="77777777" w:rsidR="00D234B8" w:rsidRDefault="00D2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853" w14:textId="77777777" w:rsidR="004A7A6B" w:rsidRDefault="004A7A6B">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962A" w14:textId="77777777" w:rsidR="004A7A6B" w:rsidRDefault="004A7A6B">
    <w:pPr>
      <w:widowControl w:val="0"/>
      <w:pBdr>
        <w:top w:val="nil"/>
        <w:left w:val="nil"/>
        <w:bottom w:val="nil"/>
        <w:right w:val="nil"/>
        <w:between w:val="nil"/>
      </w:pBdr>
      <w:spacing w:after="0" w:line="276" w:lineRule="auto"/>
      <w:rPr>
        <w:sz w:val="22"/>
        <w:szCs w:val="22"/>
      </w:rPr>
    </w:pPr>
  </w:p>
  <w:tbl>
    <w:tblPr>
      <w:tblStyle w:val="a"/>
      <w:tblW w:w="12276"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6"/>
    </w:tblGrid>
    <w:tr w:rsidR="004A7A6B" w14:paraId="6CAF8EEC" w14:textId="77777777">
      <w:trPr>
        <w:trHeight w:val="1880"/>
      </w:trPr>
      <w:tc>
        <w:tcPr>
          <w:tcW w:w="12276" w:type="dxa"/>
          <w:tcBorders>
            <w:top w:val="nil"/>
            <w:left w:val="nil"/>
            <w:bottom w:val="nil"/>
            <w:right w:val="nil"/>
          </w:tcBorders>
        </w:tcPr>
        <w:p w14:paraId="1F35C411" w14:textId="77777777" w:rsidR="004A7A6B" w:rsidRDefault="00772800">
          <w:pPr>
            <w:pBdr>
              <w:top w:val="nil"/>
              <w:left w:val="nil"/>
              <w:bottom w:val="nil"/>
              <w:right w:val="nil"/>
              <w:between w:val="nil"/>
            </w:pBdr>
            <w:rPr>
              <w:color w:val="000000"/>
            </w:rPr>
          </w:pPr>
          <w:r>
            <w:rPr>
              <w:noProof/>
              <w:color w:val="000000"/>
              <w:lang w:val="en-GB"/>
            </w:rPr>
            <w:drawing>
              <wp:inline distT="0" distB="0" distL="0" distR="0" wp14:anchorId="28B511FF" wp14:editId="24906609">
                <wp:extent cx="7795260" cy="952500"/>
                <wp:effectExtent l="0" t="0" r="0" b="0"/>
                <wp:docPr id="3" name="image3.png" descr="Multiple green waves as abstract design in header"/>
                <wp:cNvGraphicFramePr/>
                <a:graphic xmlns:a="http://schemas.openxmlformats.org/drawingml/2006/main">
                  <a:graphicData uri="http://schemas.openxmlformats.org/drawingml/2006/picture">
                    <pic:pic xmlns:pic="http://schemas.openxmlformats.org/drawingml/2006/picture">
                      <pic:nvPicPr>
                        <pic:cNvPr id="3" name="image3.png" descr="Multiple green waves as abstract design in header"/>
                        <pic:cNvPicPr preferRelativeResize="0"/>
                      </pic:nvPicPr>
                      <pic:blipFill>
                        <a:blip r:embed="rId1"/>
                        <a:srcRect/>
                        <a:stretch>
                          <a:fillRect/>
                        </a:stretch>
                      </pic:blipFill>
                      <pic:spPr>
                        <a:xfrm>
                          <a:off x="0" y="0"/>
                          <a:ext cx="7795260" cy="952500"/>
                        </a:xfrm>
                        <a:prstGeom prst="rect">
                          <a:avLst/>
                        </a:prstGeom>
                        <a:ln/>
                      </pic:spPr>
                    </pic:pic>
                  </a:graphicData>
                </a:graphic>
              </wp:inline>
            </w:drawing>
          </w:r>
        </w:p>
      </w:tc>
    </w:tr>
  </w:tbl>
  <w:p w14:paraId="260AF044" w14:textId="77777777" w:rsidR="004A7A6B" w:rsidRDefault="004A7A6B">
    <w:pPr>
      <w:widowControl w:val="0"/>
      <w:pBdr>
        <w:top w:val="nil"/>
        <w:left w:val="nil"/>
        <w:bottom w:val="nil"/>
        <w:right w:val="nil"/>
        <w:between w:val="nil"/>
      </w:pBdr>
      <w:spacing w:after="0"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475"/>
    <w:multiLevelType w:val="multilevel"/>
    <w:tmpl w:val="851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0293F"/>
    <w:multiLevelType w:val="multilevel"/>
    <w:tmpl w:val="03566A26"/>
    <w:lvl w:ilvl="0">
      <w:start w:val="1"/>
      <w:numFmt w:val="bullet"/>
      <w:lvlText w:val="●"/>
      <w:lvlJc w:val="left"/>
      <w:pPr>
        <w:ind w:left="1501" w:hanging="360"/>
      </w:pPr>
      <w:rPr>
        <w:rFonts w:ascii="Noto Sans Symbols" w:eastAsia="Noto Sans Symbols" w:hAnsi="Noto Sans Symbols" w:cs="Noto Sans Symbols"/>
      </w:rPr>
    </w:lvl>
    <w:lvl w:ilvl="1">
      <w:start w:val="1"/>
      <w:numFmt w:val="bullet"/>
      <w:lvlText w:val="o"/>
      <w:lvlJc w:val="left"/>
      <w:pPr>
        <w:ind w:left="2221" w:hanging="360"/>
      </w:pPr>
      <w:rPr>
        <w:rFonts w:ascii="Courier New" w:eastAsia="Courier New" w:hAnsi="Courier New" w:cs="Courier New"/>
      </w:rPr>
    </w:lvl>
    <w:lvl w:ilvl="2">
      <w:start w:val="1"/>
      <w:numFmt w:val="bullet"/>
      <w:lvlText w:val="▪"/>
      <w:lvlJc w:val="left"/>
      <w:pPr>
        <w:ind w:left="2941" w:hanging="360"/>
      </w:pPr>
      <w:rPr>
        <w:rFonts w:ascii="Noto Sans Symbols" w:eastAsia="Noto Sans Symbols" w:hAnsi="Noto Sans Symbols" w:cs="Noto Sans Symbols"/>
      </w:rPr>
    </w:lvl>
    <w:lvl w:ilvl="3">
      <w:start w:val="1"/>
      <w:numFmt w:val="bullet"/>
      <w:lvlText w:val="●"/>
      <w:lvlJc w:val="left"/>
      <w:pPr>
        <w:ind w:left="3661" w:hanging="360"/>
      </w:pPr>
      <w:rPr>
        <w:rFonts w:ascii="Noto Sans Symbols" w:eastAsia="Noto Sans Symbols" w:hAnsi="Noto Sans Symbols" w:cs="Noto Sans Symbols"/>
      </w:rPr>
    </w:lvl>
    <w:lvl w:ilvl="4">
      <w:start w:val="1"/>
      <w:numFmt w:val="bullet"/>
      <w:lvlText w:val="o"/>
      <w:lvlJc w:val="left"/>
      <w:pPr>
        <w:ind w:left="4381" w:hanging="360"/>
      </w:pPr>
      <w:rPr>
        <w:rFonts w:ascii="Courier New" w:eastAsia="Courier New" w:hAnsi="Courier New" w:cs="Courier New"/>
      </w:rPr>
    </w:lvl>
    <w:lvl w:ilvl="5">
      <w:start w:val="1"/>
      <w:numFmt w:val="bullet"/>
      <w:lvlText w:val="▪"/>
      <w:lvlJc w:val="left"/>
      <w:pPr>
        <w:ind w:left="5101" w:hanging="360"/>
      </w:pPr>
      <w:rPr>
        <w:rFonts w:ascii="Noto Sans Symbols" w:eastAsia="Noto Sans Symbols" w:hAnsi="Noto Sans Symbols" w:cs="Noto Sans Symbols"/>
      </w:rPr>
    </w:lvl>
    <w:lvl w:ilvl="6">
      <w:start w:val="1"/>
      <w:numFmt w:val="bullet"/>
      <w:lvlText w:val="●"/>
      <w:lvlJc w:val="left"/>
      <w:pPr>
        <w:ind w:left="5821" w:hanging="360"/>
      </w:pPr>
      <w:rPr>
        <w:rFonts w:ascii="Noto Sans Symbols" w:eastAsia="Noto Sans Symbols" w:hAnsi="Noto Sans Symbols" w:cs="Noto Sans Symbols"/>
      </w:rPr>
    </w:lvl>
    <w:lvl w:ilvl="7">
      <w:start w:val="1"/>
      <w:numFmt w:val="bullet"/>
      <w:lvlText w:val="o"/>
      <w:lvlJc w:val="left"/>
      <w:pPr>
        <w:ind w:left="6541" w:hanging="360"/>
      </w:pPr>
      <w:rPr>
        <w:rFonts w:ascii="Courier New" w:eastAsia="Courier New" w:hAnsi="Courier New" w:cs="Courier New"/>
      </w:rPr>
    </w:lvl>
    <w:lvl w:ilvl="8">
      <w:start w:val="1"/>
      <w:numFmt w:val="bullet"/>
      <w:lvlText w:val="▪"/>
      <w:lvlJc w:val="left"/>
      <w:pPr>
        <w:ind w:left="7261" w:hanging="360"/>
      </w:pPr>
      <w:rPr>
        <w:rFonts w:ascii="Noto Sans Symbols" w:eastAsia="Noto Sans Symbols" w:hAnsi="Noto Sans Symbols" w:cs="Noto Sans Symbols"/>
      </w:rPr>
    </w:lvl>
  </w:abstractNum>
  <w:abstractNum w:abstractNumId="2" w15:restartNumberingAfterBreak="0">
    <w:nsid w:val="2D12364B"/>
    <w:multiLevelType w:val="multilevel"/>
    <w:tmpl w:val="0D8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B342FD"/>
    <w:multiLevelType w:val="hybridMultilevel"/>
    <w:tmpl w:val="5338F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EA7E39"/>
    <w:multiLevelType w:val="multilevel"/>
    <w:tmpl w:val="23BE73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6294246E"/>
    <w:multiLevelType w:val="multilevel"/>
    <w:tmpl w:val="80D019D0"/>
    <w:lvl w:ilvl="0">
      <w:start w:val="22"/>
      <w:numFmt w:val="bullet"/>
      <w:lvlText w:val="-"/>
      <w:lvlJc w:val="left"/>
      <w:pPr>
        <w:ind w:left="1080" w:hanging="360"/>
      </w:pPr>
      <w:rPr>
        <w:rFonts w:ascii="Helvetica Neue" w:eastAsia="Helvetica Neue" w:hAnsi="Helvetica Neue" w:cs="Helvetica Neu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A341CA5"/>
    <w:multiLevelType w:val="multilevel"/>
    <w:tmpl w:val="8370E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D5313"/>
    <w:multiLevelType w:val="multilevel"/>
    <w:tmpl w:val="1A8E2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19138">
    <w:abstractNumId w:val="5"/>
  </w:num>
  <w:num w:numId="2" w16cid:durableId="497615501">
    <w:abstractNumId w:val="4"/>
  </w:num>
  <w:num w:numId="3" w16cid:durableId="1381133521">
    <w:abstractNumId w:val="1"/>
  </w:num>
  <w:num w:numId="4" w16cid:durableId="238447033">
    <w:abstractNumId w:val="0"/>
  </w:num>
  <w:num w:numId="5" w16cid:durableId="1413316554">
    <w:abstractNumId w:val="2"/>
  </w:num>
  <w:num w:numId="6" w16cid:durableId="677200217">
    <w:abstractNumId w:val="6"/>
  </w:num>
  <w:num w:numId="7" w16cid:durableId="1187862487">
    <w:abstractNumId w:val="7"/>
  </w:num>
  <w:num w:numId="8" w16cid:durableId="1211764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6B"/>
    <w:rsid w:val="000029BB"/>
    <w:rsid w:val="000223B4"/>
    <w:rsid w:val="000269F5"/>
    <w:rsid w:val="000D610F"/>
    <w:rsid w:val="0015255C"/>
    <w:rsid w:val="00206889"/>
    <w:rsid w:val="00241D06"/>
    <w:rsid w:val="002579B9"/>
    <w:rsid w:val="002974EB"/>
    <w:rsid w:val="002D7B65"/>
    <w:rsid w:val="002E4601"/>
    <w:rsid w:val="003048B1"/>
    <w:rsid w:val="00332528"/>
    <w:rsid w:val="00401825"/>
    <w:rsid w:val="004076D2"/>
    <w:rsid w:val="00421D66"/>
    <w:rsid w:val="00432A9A"/>
    <w:rsid w:val="00455830"/>
    <w:rsid w:val="00477125"/>
    <w:rsid w:val="00485674"/>
    <w:rsid w:val="004A4801"/>
    <w:rsid w:val="004A7A6B"/>
    <w:rsid w:val="004B5A3D"/>
    <w:rsid w:val="004C1B91"/>
    <w:rsid w:val="004C7773"/>
    <w:rsid w:val="00531CE5"/>
    <w:rsid w:val="005555CF"/>
    <w:rsid w:val="005E7A9E"/>
    <w:rsid w:val="0068090F"/>
    <w:rsid w:val="00701C89"/>
    <w:rsid w:val="0070671A"/>
    <w:rsid w:val="0072549B"/>
    <w:rsid w:val="00772800"/>
    <w:rsid w:val="007B6AB5"/>
    <w:rsid w:val="00820056"/>
    <w:rsid w:val="0083074F"/>
    <w:rsid w:val="008942D4"/>
    <w:rsid w:val="008A57D2"/>
    <w:rsid w:val="008C714C"/>
    <w:rsid w:val="00923960"/>
    <w:rsid w:val="00931A51"/>
    <w:rsid w:val="0094624B"/>
    <w:rsid w:val="0096474A"/>
    <w:rsid w:val="009804C5"/>
    <w:rsid w:val="009E33FF"/>
    <w:rsid w:val="009F0804"/>
    <w:rsid w:val="00A05D93"/>
    <w:rsid w:val="00A2354C"/>
    <w:rsid w:val="00A54AA8"/>
    <w:rsid w:val="00A64B3D"/>
    <w:rsid w:val="00A82224"/>
    <w:rsid w:val="00A97DF9"/>
    <w:rsid w:val="00AA5509"/>
    <w:rsid w:val="00AF3696"/>
    <w:rsid w:val="00B474C7"/>
    <w:rsid w:val="00B818C4"/>
    <w:rsid w:val="00B851A7"/>
    <w:rsid w:val="00C4180B"/>
    <w:rsid w:val="00C67ECA"/>
    <w:rsid w:val="00C817A5"/>
    <w:rsid w:val="00C92282"/>
    <w:rsid w:val="00D234B8"/>
    <w:rsid w:val="00D35E60"/>
    <w:rsid w:val="00D53C1A"/>
    <w:rsid w:val="00D60573"/>
    <w:rsid w:val="00DD3DE1"/>
    <w:rsid w:val="00DD5D41"/>
    <w:rsid w:val="00DD67D6"/>
    <w:rsid w:val="00E150C5"/>
    <w:rsid w:val="00E32961"/>
    <w:rsid w:val="00E47CD2"/>
    <w:rsid w:val="00E85D3E"/>
    <w:rsid w:val="00EE26D1"/>
    <w:rsid w:val="00F003FF"/>
    <w:rsid w:val="00F6059F"/>
    <w:rsid w:val="00F70922"/>
    <w:rsid w:val="00FE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93"/>
  <w15:docId w15:val="{89D88C8E-F82E-42A3-800A-86847205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Franklin Gothic" w:eastAsia="Franklin Gothic" w:hAnsi="Franklin Gothic" w:cs="Franklin Gothic"/>
      <w:color w:val="3D5157"/>
      <w:sz w:val="36"/>
      <w:szCs w:val="36"/>
    </w:rPr>
  </w:style>
  <w:style w:type="paragraph" w:styleId="Heading2">
    <w:name w:val="heading 2"/>
    <w:basedOn w:val="Normal"/>
    <w:next w:val="Normal"/>
    <w:pPr>
      <w:keepNext/>
      <w:keepLines/>
      <w:spacing w:before="40" w:after="0"/>
      <w:outlineLvl w:val="1"/>
    </w:pPr>
    <w:rPr>
      <w:rFonts w:ascii="Franklin Gothic" w:eastAsia="Franklin Gothic" w:hAnsi="Franklin Gothic" w:cs="Franklin Gothic"/>
      <w:color w:val="4F6228"/>
      <w:sz w:val="26"/>
      <w:szCs w:val="26"/>
    </w:rPr>
  </w:style>
  <w:style w:type="paragraph" w:styleId="Heading3">
    <w:name w:val="heading 3"/>
    <w:basedOn w:val="Normal"/>
    <w:next w:val="Normal"/>
    <w:pPr>
      <w:keepNext/>
      <w:keepLines/>
      <w:spacing w:before="40" w:after="0"/>
      <w:outlineLvl w:val="2"/>
    </w:pPr>
    <w:rPr>
      <w:rFonts w:ascii="Franklin Gothic" w:eastAsia="Franklin Gothic" w:hAnsi="Franklin Gothic" w:cs="Franklin Gothic"/>
      <w:color w:val="4F6228"/>
    </w:rPr>
  </w:style>
  <w:style w:type="paragraph" w:styleId="Heading4">
    <w:name w:val="heading 4"/>
    <w:basedOn w:val="Normal"/>
    <w:next w:val="Normal"/>
    <w:pPr>
      <w:keepNext/>
      <w:keepLines/>
      <w:spacing w:before="40" w:after="0"/>
      <w:outlineLvl w:val="3"/>
    </w:pPr>
    <w:rPr>
      <w:rFonts w:ascii="Franklin Gothic" w:eastAsia="Franklin Gothic" w:hAnsi="Franklin Gothic" w:cs="Franklin Gothic"/>
      <w:i/>
      <w:color w:val="4F6228"/>
    </w:rPr>
  </w:style>
  <w:style w:type="paragraph" w:styleId="Heading5">
    <w:name w:val="heading 5"/>
    <w:basedOn w:val="Normal"/>
    <w:next w:val="Normal"/>
    <w:pPr>
      <w:keepNext/>
      <w:keepLines/>
      <w:spacing w:before="80" w:after="0"/>
      <w:outlineLvl w:val="4"/>
    </w:pPr>
    <w:rPr>
      <w:rFonts w:ascii="Franklin Gothic" w:eastAsia="Franklin Gothic" w:hAnsi="Franklin Gothic" w:cs="Franklin Gothic"/>
      <w:color w:val="4F6228"/>
    </w:rPr>
  </w:style>
  <w:style w:type="paragraph" w:styleId="Heading6">
    <w:name w:val="heading 6"/>
    <w:basedOn w:val="Normal"/>
    <w:next w:val="Normal"/>
    <w:pPr>
      <w:keepNext/>
      <w:keepLines/>
      <w:spacing w:before="120" w:after="0"/>
      <w:outlineLvl w:val="5"/>
    </w:pPr>
    <w:rPr>
      <w:rFonts w:ascii="Franklin Gothic" w:eastAsia="Franklin Gothic" w:hAnsi="Franklin Gothic" w:cs="Franklin Gothic"/>
      <w:color w:val="4F62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Franklin Gothic" w:eastAsia="Franklin Gothic" w:hAnsi="Franklin Gothic" w:cs="Franklin Gothic"/>
      <w:color w:val="000000"/>
      <w:sz w:val="56"/>
      <w:szCs w:val="56"/>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0F"/>
    <w:rPr>
      <w:rFonts w:ascii="Segoe UI" w:hAnsi="Segoe UI" w:cs="Segoe UI"/>
      <w:sz w:val="18"/>
      <w:szCs w:val="18"/>
    </w:rPr>
  </w:style>
  <w:style w:type="paragraph" w:styleId="ListParagraph">
    <w:name w:val="List Paragraph"/>
    <w:basedOn w:val="Normal"/>
    <w:uiPriority w:val="34"/>
    <w:qFormat/>
    <w:rsid w:val="0094624B"/>
    <w:pPr>
      <w:ind w:left="720"/>
      <w:contextualSpacing/>
    </w:pPr>
  </w:style>
  <w:style w:type="paragraph" w:styleId="Header">
    <w:name w:val="header"/>
    <w:basedOn w:val="Normal"/>
    <w:link w:val="HeaderChar"/>
    <w:uiPriority w:val="99"/>
    <w:unhideWhenUsed/>
    <w:rsid w:val="00C67ECA"/>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7ECA"/>
  </w:style>
  <w:style w:type="paragraph" w:customStyle="1" w:styleId="Default">
    <w:name w:val="Default"/>
    <w:rsid w:val="008A57D2"/>
    <w:pPr>
      <w:autoSpaceDE w:val="0"/>
      <w:autoSpaceDN w:val="0"/>
      <w:adjustRightInd w:val="0"/>
      <w:spacing w:after="0" w:line="240" w:lineRule="auto"/>
    </w:pPr>
    <w:rPr>
      <w:rFonts w:ascii="Cambria" w:hAnsi="Cambria" w:cs="Cambri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f.k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Karachaganak Petroleum Operating B.V.</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Filippova, Marina</dc:creator>
  <cp:lastModifiedBy>Kireyeva, Aigul</cp:lastModifiedBy>
  <cp:revision>34</cp:revision>
  <dcterms:created xsi:type="dcterms:W3CDTF">2024-09-09T10:38:00Z</dcterms:created>
  <dcterms:modified xsi:type="dcterms:W3CDTF">2025-11-27T13:44:00Z</dcterms:modified>
</cp:coreProperties>
</file>